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23" w:rsidRPr="00DD5095" w:rsidRDefault="00186023" w:rsidP="00DD5095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D5095">
        <w:rPr>
          <w:rFonts w:ascii="Times New Roman" w:hAnsi="Times New Roman" w:cs="Times New Roman"/>
          <w:b/>
          <w:sz w:val="24"/>
          <w:szCs w:val="24"/>
          <w:lang w:val="fr-FR"/>
        </w:rPr>
        <w:t>Biographie de Marie-Soleil Frère</w:t>
      </w:r>
    </w:p>
    <w:p w:rsidR="00DD5095" w:rsidRDefault="00DD5095" w:rsidP="00DD5095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86023" w:rsidRDefault="00186023" w:rsidP="00DD5095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D5095">
        <w:rPr>
          <w:rFonts w:ascii="Times New Roman" w:hAnsi="Times New Roman" w:cs="Times New Roman"/>
          <w:sz w:val="24"/>
          <w:szCs w:val="24"/>
          <w:lang w:val="fr-FR"/>
        </w:rPr>
        <w:t xml:space="preserve">Chercheur qualifié au Fonds national de la Recherche scientifique et chargée de cours à l'Université Libre de Bruxelles. Elle consacre ses recherches à la place et au rôle des médias dans les évolutions politiques en Afrique francophone. Elle est aussi expert associé à l'Institut Panos Paris et est impliquée dans la mise en </w:t>
      </w:r>
      <w:proofErr w:type="spellStart"/>
      <w:r w:rsidRPr="00DD5095">
        <w:rPr>
          <w:rFonts w:ascii="Times New Roman" w:hAnsi="Times New Roman" w:cs="Times New Roman"/>
          <w:sz w:val="24"/>
          <w:szCs w:val="24"/>
          <w:lang w:val="fr-FR"/>
        </w:rPr>
        <w:t>oeuvre</w:t>
      </w:r>
      <w:proofErr w:type="spellEnd"/>
      <w:r w:rsidRPr="00DD5095">
        <w:rPr>
          <w:rFonts w:ascii="Times New Roman" w:hAnsi="Times New Roman" w:cs="Times New Roman"/>
          <w:sz w:val="24"/>
          <w:szCs w:val="24"/>
          <w:lang w:val="fr-FR"/>
        </w:rPr>
        <w:t xml:space="preserve"> de nombreux projets d'appui aux médias en Afrique. Elle a publié "Presse et Démocratie en Afrique francophone" (Paris, Karthala, 2000), "Médias et Communications sociales au Burkina Faso" (Paris, </w:t>
      </w:r>
      <w:proofErr w:type="spellStart"/>
      <w:r w:rsidRPr="00DD5095">
        <w:rPr>
          <w:rFonts w:ascii="Times New Roman" w:hAnsi="Times New Roman" w:cs="Times New Roman"/>
          <w:sz w:val="24"/>
          <w:szCs w:val="24"/>
          <w:lang w:val="fr-FR"/>
        </w:rPr>
        <w:t>L'Harmattan</w:t>
      </w:r>
      <w:proofErr w:type="spellEnd"/>
      <w:r w:rsidRPr="00DD5095">
        <w:rPr>
          <w:rFonts w:ascii="Times New Roman" w:hAnsi="Times New Roman" w:cs="Times New Roman"/>
          <w:sz w:val="24"/>
          <w:szCs w:val="24"/>
          <w:lang w:val="fr-FR"/>
        </w:rPr>
        <w:t>, 2003) et "Afrique Centrale. Médias et Conflits. Vecteurs de guerre ou acteurs de paix" (Bruxelles, Editions Complexe, 2005)</w:t>
      </w:r>
      <w:r w:rsidR="00DD509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A44D82" w:rsidRDefault="00A44D82" w:rsidP="00DD5095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44D82" w:rsidRPr="00DD5095" w:rsidRDefault="00A44D82" w:rsidP="00DD5095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Image 1" descr="grip.org/wp-content/uploads/2021/03/MS-Frere3-7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p.org/wp-content/uploads/2021/03/MS-Frere3-7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8EA" w:rsidRDefault="003D48EA">
      <w:pPr>
        <w:rPr>
          <w:lang w:val="fr-FR"/>
        </w:rPr>
      </w:pPr>
    </w:p>
    <w:p w:rsidR="00A44D82" w:rsidRPr="00186023" w:rsidRDefault="00A44D82">
      <w:pPr>
        <w:rPr>
          <w:lang w:val="fr-FR"/>
        </w:rPr>
      </w:pPr>
      <w:bookmarkStart w:id="0" w:name="_GoBack"/>
      <w:bookmarkEnd w:id="0"/>
    </w:p>
    <w:sectPr w:rsidR="00A44D82" w:rsidRPr="00186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23"/>
    <w:rsid w:val="00186023"/>
    <w:rsid w:val="003D48EA"/>
    <w:rsid w:val="00A44D82"/>
    <w:rsid w:val="00D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69570-6EB7-456A-A679-5F66A26A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86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860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8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nsinterligne">
    <w:name w:val="No Spacing"/>
    <w:uiPriority w:val="1"/>
    <w:qFormat/>
    <w:rsid w:val="00DD5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2022-03-11T06:52:00Z</dcterms:created>
  <dcterms:modified xsi:type="dcterms:W3CDTF">2022-03-11T06:55:00Z</dcterms:modified>
</cp:coreProperties>
</file>